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ti ed alienazioni immobiliari, relative permute, appalti e concessioni che non siano previsti espressamente in atti fondamentali del Consiglio o che non ne costituiscano mera esecuzione e che, comunque, non rientrino nella ordinaria amministrazione di funzioni e servizi di competenza della Giunta, del Segretario Generale o di altri funzion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ti ed alienazioni immobiliari, relative permute, appalti e concessioni che non siano previsti espressamente in atti fondamentali del Consiglio o che non ne costituiscano mera esecuzione e che, comunque, non rientrino nella ordinaria amministrazione di funzioni e servizi di competenza della Giunta, del Segretario Generale o di altri funzion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